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480" w:lineRule="auto"/>
        <w:jc w:val="left"/>
        <w:rPr>
          <w:rFonts w:ascii="黑体" w:hAnsi="黑体" w:eastAsia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/>
          <w:color w:val="000000"/>
          <w:kern w:val="0"/>
          <w:sz w:val="32"/>
          <w:szCs w:val="32"/>
        </w:rPr>
        <w:t>附件</w:t>
      </w:r>
      <w:r>
        <w:rPr>
          <w:rFonts w:ascii="黑体" w:hAnsi="黑体" w:eastAsia="黑体"/>
          <w:color w:val="000000"/>
          <w:kern w:val="0"/>
          <w:sz w:val="32"/>
          <w:szCs w:val="32"/>
        </w:rPr>
        <w:t>1</w:t>
      </w:r>
    </w:p>
    <w:p>
      <w:pPr>
        <w:shd w:val="clear" w:color="auto" w:fill="FFFFFF"/>
        <w:spacing w:line="480" w:lineRule="auto"/>
        <w:jc w:val="center"/>
        <w:rPr>
          <w:rFonts w:eastAsia="微软雅黑"/>
          <w:color w:val="333333"/>
          <w:kern w:val="0"/>
          <w:sz w:val="24"/>
        </w:rPr>
      </w:pPr>
      <w:r>
        <w:rPr>
          <w:rFonts w:hint="eastAsia"/>
          <w:b/>
          <w:bCs/>
          <w:color w:val="333333"/>
          <w:kern w:val="0"/>
          <w:sz w:val="36"/>
          <w:szCs w:val="36"/>
        </w:rPr>
        <w:t>重庆市校外培训机构设置基本条件</w:t>
      </w:r>
      <w:r>
        <w:rPr>
          <w:b/>
          <w:bCs/>
          <w:color w:val="333333"/>
          <w:kern w:val="0"/>
          <w:sz w:val="36"/>
          <w:szCs w:val="36"/>
        </w:rPr>
        <w:t> </w:t>
      </w:r>
    </w:p>
    <w:tbl>
      <w:tblPr>
        <w:tblStyle w:val="2"/>
        <w:tblW w:w="9105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18"/>
        <w:gridCol w:w="567"/>
        <w:gridCol w:w="81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" w:hRule="atLeast"/>
          <w:tblCellSpacing w:w="0" w:type="dxa"/>
          <w:jc w:val="center"/>
        </w:trPr>
        <w:tc>
          <w:tcPr>
            <w:tcW w:w="418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b/>
                <w:bCs/>
                <w:color w:val="333333"/>
                <w:kern w:val="0"/>
                <w:sz w:val="24"/>
              </w:rPr>
              <w:t>序号</w:t>
            </w:r>
          </w:p>
        </w:tc>
        <w:tc>
          <w:tcPr>
            <w:tcW w:w="567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b/>
                <w:bCs/>
                <w:color w:val="333333"/>
                <w:kern w:val="0"/>
                <w:sz w:val="24"/>
              </w:rPr>
              <w:t>项目</w:t>
            </w:r>
          </w:p>
        </w:tc>
        <w:tc>
          <w:tcPr>
            <w:tcW w:w="8120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b/>
                <w:bCs/>
                <w:color w:val="333333"/>
                <w:kern w:val="0"/>
                <w:sz w:val="24"/>
              </w:rPr>
              <w:t>基</w:t>
            </w:r>
            <w:r>
              <w:rPr>
                <w:b/>
                <w:bCs/>
                <w:color w:val="333333"/>
                <w:kern w:val="0"/>
                <w:sz w:val="24"/>
              </w:rPr>
              <w:t xml:space="preserve">  </w:t>
            </w:r>
            <w:r>
              <w:rPr>
                <w:rFonts w:hint="eastAsia"/>
                <w:b/>
                <w:bCs/>
                <w:color w:val="333333"/>
                <w:kern w:val="0"/>
                <w:sz w:val="24"/>
              </w:rPr>
              <w:t>本</w:t>
            </w:r>
            <w:r>
              <w:rPr>
                <w:b/>
                <w:bCs/>
                <w:color w:val="333333"/>
                <w:kern w:val="0"/>
                <w:sz w:val="24"/>
              </w:rPr>
              <w:t xml:space="preserve">  </w:t>
            </w:r>
            <w:r>
              <w:rPr>
                <w:rFonts w:hint="eastAsia"/>
                <w:b/>
                <w:bCs/>
                <w:color w:val="333333"/>
                <w:kern w:val="0"/>
                <w:sz w:val="24"/>
              </w:rPr>
              <w:t>条</w:t>
            </w:r>
            <w:r>
              <w:rPr>
                <w:b/>
                <w:bCs/>
                <w:color w:val="333333"/>
                <w:kern w:val="0"/>
                <w:sz w:val="24"/>
              </w:rPr>
              <w:t xml:space="preserve">  </w:t>
            </w:r>
            <w:r>
              <w:rPr>
                <w:rFonts w:hint="eastAsia"/>
                <w:b/>
                <w:bCs/>
                <w:color w:val="333333"/>
                <w:kern w:val="0"/>
                <w:sz w:val="24"/>
              </w:rPr>
              <w:t>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8" w:hRule="atLeast"/>
          <w:tblCellSpacing w:w="0" w:type="dxa"/>
          <w:jc w:val="center"/>
        </w:trPr>
        <w:tc>
          <w:tcPr>
            <w:tcW w:w="418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color w:val="333333"/>
                <w:kern w:val="0"/>
                <w:sz w:val="24"/>
              </w:rPr>
              <w:t>1</w:t>
            </w:r>
          </w:p>
        </w:tc>
        <w:tc>
          <w:tcPr>
            <w:tcW w:w="567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场地条件</w:t>
            </w:r>
          </w:p>
        </w:tc>
        <w:tc>
          <w:tcPr>
            <w:tcW w:w="8120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校外培训机构办学场地建筑面积应不低于</w:t>
            </w:r>
            <w:r>
              <w:rPr>
                <w:color w:val="333333"/>
                <w:kern w:val="0"/>
                <w:sz w:val="24"/>
              </w:rPr>
              <w:t>300</w:t>
            </w:r>
            <w:r>
              <w:rPr>
                <w:rFonts w:hint="eastAsia"/>
                <w:color w:val="333333"/>
                <w:kern w:val="0"/>
                <w:sz w:val="24"/>
              </w:rPr>
              <w:t>平方米且位于同一楼层，同一培训时段内生均办学场地面积</w:t>
            </w:r>
            <w:r>
              <w:rPr>
                <w:color w:val="333333"/>
                <w:kern w:val="0"/>
                <w:sz w:val="24"/>
              </w:rPr>
              <w:t>3</w:t>
            </w:r>
            <w:r>
              <w:rPr>
                <w:rFonts w:hint="eastAsia"/>
                <w:color w:val="333333"/>
                <w:kern w:val="0"/>
                <w:sz w:val="24"/>
              </w:rPr>
              <w:t>平方米以上，教学用房建筑面积不少于办学场地总建筑面积的三分之二，确保不拥挤、易疏散。必须符合国家关于消防、环保、卫生、安全防范、食品经营等管理规定要求。举办者自有的房屋作为办学场地，需具有权属证书，且产权清楚；举办者租赁的办学场地，租用期不得低于</w:t>
            </w:r>
            <w:r>
              <w:rPr>
                <w:color w:val="333333"/>
                <w:kern w:val="0"/>
                <w:sz w:val="24"/>
              </w:rPr>
              <w:t>3</w:t>
            </w:r>
            <w:r>
              <w:rPr>
                <w:rFonts w:hint="eastAsia"/>
                <w:color w:val="333333"/>
                <w:kern w:val="0"/>
                <w:sz w:val="24"/>
              </w:rPr>
              <w:t>年；居民住宅、半地下室、地下室及其他存在安全隐患的场所不得作为办学场地。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6" w:hRule="atLeast"/>
          <w:tblCellSpacing w:w="0" w:type="dxa"/>
          <w:jc w:val="center"/>
        </w:trPr>
        <w:tc>
          <w:tcPr>
            <w:tcW w:w="418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color w:val="333333"/>
                <w:kern w:val="0"/>
                <w:sz w:val="24"/>
              </w:rPr>
              <w:t>2</w:t>
            </w:r>
          </w:p>
        </w:tc>
        <w:tc>
          <w:tcPr>
            <w:tcW w:w="567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资金条件</w:t>
            </w:r>
          </w:p>
        </w:tc>
        <w:tc>
          <w:tcPr>
            <w:tcW w:w="8120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校外培训机构有稳定的经费来源，举办者属于社会组织的，净资产应不少于</w:t>
            </w:r>
            <w:r>
              <w:rPr>
                <w:color w:val="333333"/>
                <w:kern w:val="0"/>
                <w:sz w:val="24"/>
              </w:rPr>
              <w:t>150</w:t>
            </w:r>
            <w:r>
              <w:rPr>
                <w:rFonts w:hint="eastAsia"/>
                <w:color w:val="333333"/>
                <w:kern w:val="0"/>
                <w:sz w:val="24"/>
              </w:rPr>
              <w:t>万元、资产负债率不超过</w:t>
            </w:r>
            <w:r>
              <w:rPr>
                <w:color w:val="333333"/>
                <w:kern w:val="0"/>
                <w:sz w:val="24"/>
              </w:rPr>
              <w:t>50%</w:t>
            </w:r>
            <w:r>
              <w:rPr>
                <w:rFonts w:hint="eastAsia"/>
                <w:color w:val="333333"/>
                <w:kern w:val="0"/>
                <w:sz w:val="24"/>
              </w:rPr>
              <w:t>；举办者属于自然人的，货币资金应不少于</w:t>
            </w:r>
            <w:r>
              <w:rPr>
                <w:color w:val="333333"/>
                <w:kern w:val="0"/>
                <w:sz w:val="24"/>
              </w:rPr>
              <w:t>100</w:t>
            </w:r>
            <w:r>
              <w:rPr>
                <w:rFonts w:hint="eastAsia"/>
                <w:color w:val="333333"/>
                <w:kern w:val="0"/>
                <w:sz w:val="24"/>
              </w:rPr>
              <w:t>万元。新设立校外培训机构，举办者提供的开办资金或实缴注册资本应不少于</w:t>
            </w:r>
            <w:r>
              <w:rPr>
                <w:color w:val="333333"/>
                <w:kern w:val="0"/>
                <w:sz w:val="24"/>
              </w:rPr>
              <w:t>50</w:t>
            </w:r>
            <w:r>
              <w:rPr>
                <w:rFonts w:hint="eastAsia"/>
                <w:color w:val="333333"/>
                <w:kern w:val="0"/>
                <w:sz w:val="24"/>
              </w:rPr>
              <w:t>万元，每增设一个教学点增资数额一般不少于</w:t>
            </w:r>
            <w:r>
              <w:rPr>
                <w:color w:val="333333"/>
                <w:kern w:val="0"/>
                <w:sz w:val="24"/>
              </w:rPr>
              <w:t>15</w:t>
            </w:r>
            <w:r>
              <w:rPr>
                <w:rFonts w:hint="eastAsia"/>
                <w:color w:val="333333"/>
                <w:kern w:val="0"/>
                <w:sz w:val="24"/>
              </w:rPr>
              <w:t>万元。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0" w:type="dxa"/>
          <w:jc w:val="center"/>
        </w:trPr>
        <w:tc>
          <w:tcPr>
            <w:tcW w:w="418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color w:val="333333"/>
                <w:kern w:val="0"/>
                <w:sz w:val="24"/>
              </w:rPr>
              <w:t>3</w:t>
            </w:r>
          </w:p>
        </w:tc>
        <w:tc>
          <w:tcPr>
            <w:tcW w:w="567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师资条件</w:t>
            </w:r>
          </w:p>
        </w:tc>
        <w:tc>
          <w:tcPr>
            <w:tcW w:w="8120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校外培训机构必须有相对稳定的师资队伍，不得聘用中小学在职教师。所聘从事培训工作的人员必须遵守宪法法律，热爱教育事业，具有良好的思想品德和相应的培训能力；从事学科知识培训的培训教师应具有相应的教师资格。聘用外籍人员担任培训教师的必须符合国家有关规定。校外培训机构应根据班级个数、学员数量配备相应规模的专兼职培训教师，确保同一培训时段内每个培训班至少有</w:t>
            </w:r>
            <w:r>
              <w:rPr>
                <w:color w:val="333333"/>
                <w:kern w:val="0"/>
                <w:sz w:val="24"/>
              </w:rPr>
              <w:t>1</w:t>
            </w:r>
            <w:r>
              <w:rPr>
                <w:rFonts w:hint="eastAsia"/>
                <w:color w:val="333333"/>
                <w:kern w:val="0"/>
                <w:sz w:val="24"/>
              </w:rPr>
              <w:t>名培训教师，其中专职培训教师占比不得低于培训教师总数的三分之一，并且专职培训教师总数不得少于</w:t>
            </w:r>
            <w:r>
              <w:rPr>
                <w:color w:val="333333"/>
                <w:kern w:val="0"/>
                <w:sz w:val="24"/>
              </w:rPr>
              <w:t>3</w:t>
            </w:r>
            <w:r>
              <w:rPr>
                <w:rFonts w:hint="eastAsia"/>
                <w:color w:val="333333"/>
                <w:kern w:val="0"/>
                <w:sz w:val="24"/>
              </w:rPr>
              <w:t>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0" w:type="dxa"/>
          <w:jc w:val="center"/>
        </w:trPr>
        <w:tc>
          <w:tcPr>
            <w:tcW w:w="418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color w:val="333333"/>
                <w:kern w:val="0"/>
                <w:sz w:val="24"/>
              </w:rPr>
              <w:t>4</w:t>
            </w:r>
          </w:p>
        </w:tc>
        <w:tc>
          <w:tcPr>
            <w:tcW w:w="567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管理条件</w:t>
            </w:r>
          </w:p>
        </w:tc>
        <w:tc>
          <w:tcPr>
            <w:tcW w:w="8120" w:type="dxa"/>
            <w:noWrap w:val="0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微软雅黑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完善的管理制度：（一）章程。内容应当包括但不限于下列主要事项：名称、地址、法人属性；办学宗旨、层次类型、规模、形式等；举办者参与办学和管理的权限和程序、权利和义务，以及举办者变更、权益转让的办法；开办资金或注册资本以及资产的来源、性质等；决策机构和监督机构的产生方法、人员构成、任期、议事规则等；党组织负责人进入决策机构和监督机构的程序；党的建设；法定代表人；自行终止的事由，剩余资产处置的办法与程序；章程修改程序；需要由章程规定的其他事项等。（二）收费和退费办法。校外培训机构应按照我市有关管理规定，制定培训收费和退费办法，明确收费项目、收费标准，以及退费结算方法。（三）财务管理制度。校外培训机构应根据国家有关法律法规和我市有关管理规定，依法完善培训费专用账户、收支管理等财务管理制度。（四）培训管理制度。校外培训机构应加强培训教师队伍建设，增强教职工责任心，强化培训管理，保证培训质量。（五）劳动用工制度。校外培训机构应按照《中华人民共和国劳动合同法》要求，建立员工聘任、员工解聘、劳动合同签订、社保购买等劳动用工制度。（六）安全稳定制度。校外培训机构应建立完善的安全管理制度，以确保校外培训机构正常开展培训活动，保障学员和员工生命财产安全，维护社会安全稳定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QIJIC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QIJIC">
    <w:panose1 w:val="02000509000000000000"/>
    <w:charset w:val="88"/>
    <w:family w:val="auto"/>
    <w:pitch w:val="default"/>
    <w:sig w:usb0="00000000" w:usb1="0A010000" w:usb2="00000000" w:usb3="00000000" w:csb0="00100000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F5429F"/>
    <w:rsid w:val="32F5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2021-09-01T08:52:00Z</dcterms:created>
  <dc:creator>Administrator</dc:creator>
  <cp:lastModifiedBy>Administrator</cp:lastModifiedBy>
  <dcterms:modified xsi:type="dcterms:W3CDTF">2021-09-01T08:52:56Z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